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after="156" w:afterLines="50" w:line="340" w:lineRule="exact"/>
        <w:rPr>
          <w:rFonts w:ascii="仿宋_GB2312" w:hAnsi="宋体" w:eastAsia="仿宋_GB2312" w:cs="Times New Roman"/>
          <w:color w:val="000000"/>
          <w:kern w:val="0"/>
          <w:sz w:val="32"/>
          <w:szCs w:val="24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24"/>
        </w:rPr>
        <w:t>附件2：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36"/>
          <w:szCs w:val="36"/>
        </w:rPr>
        <w:t>2017年度校级奖励金学生奖推荐名额分配表</w:t>
      </w:r>
    </w:p>
    <w:p>
      <w:pPr>
        <w:spacing w:line="300" w:lineRule="exact"/>
        <w:jc w:val="left"/>
        <w:outlineLvl w:val="0"/>
        <w:rPr>
          <w:rFonts w:ascii="黑体" w:hAnsi="宋体" w:eastAsia="黑体" w:cs="Times New Roman"/>
          <w:color w:val="000000"/>
          <w:spacing w:val="-6"/>
          <w:kern w:val="0"/>
          <w:sz w:val="30"/>
          <w:szCs w:val="21"/>
        </w:rPr>
      </w:pPr>
      <w:r>
        <w:rPr>
          <w:rFonts w:hint="eastAsia" w:ascii="黑体" w:hAnsi="宋体" w:eastAsia="黑体" w:cs="Times New Roman"/>
          <w:b/>
          <w:color w:val="000000"/>
          <w:kern w:val="0"/>
          <w:sz w:val="30"/>
          <w:szCs w:val="21"/>
        </w:rPr>
        <w:t>一、本</w:t>
      </w:r>
      <w:r>
        <w:rPr>
          <w:rFonts w:hint="eastAsia" w:ascii="黑体" w:hAnsi="宋体" w:eastAsia="黑体" w:cs="Times New Roman"/>
          <w:b/>
          <w:color w:val="000000"/>
          <w:spacing w:val="-6"/>
          <w:kern w:val="0"/>
          <w:sz w:val="30"/>
          <w:szCs w:val="21"/>
        </w:rPr>
        <w:t>科生推荐名额</w:t>
      </w:r>
    </w:p>
    <w:tbl>
      <w:tblPr>
        <w:tblStyle w:val="12"/>
        <w:tblW w:w="9313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436"/>
        <w:gridCol w:w="490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90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FF0000"/>
                <w:kern w:val="0"/>
                <w:sz w:val="22"/>
              </w:rPr>
            </w:pPr>
            <w:bookmarkStart w:id="0" w:name="RANGE!A1"/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二级单位</w:t>
            </w:r>
            <w:bookmarkEnd w:id="0"/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宝钢教育奖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蒋维英助学金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茅以升铁路教育专项奖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钻石奖学金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山河英才一等奖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山河英才二等奖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米塔尔奖学金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黄培云教育奖励金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鑫恒教育奖励金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华东有色一等奖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华东有色二等奖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世纪海翔一等奖学金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世纪海翔二等奖学金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世纪海翔酬勤助学金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比亚迪奖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文学与新闻传播学院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法学院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马克思主义学院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公共管理学院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数学与统计学院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物理与电子学院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化学化工学院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机电工程学院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  <w:t>8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  <w:t>18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FF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能源科学与工程学院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材料科学与工程学院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粉末冶金研究院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交通运输工程学院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土木工程学院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冶金与环境学院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地球科学与信息物理学院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资源与安全工程学院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资源加工与生物工程学院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信息科学与工程学院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基础医学院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湘雅公共卫生学院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湘雅护理学院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湘雅口腔医学院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湘雅药学院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体育教研部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生命科学学院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软件学院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航空航天学院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湘雅医学院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22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    计：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60</w:t>
            </w:r>
          </w:p>
        </w:tc>
      </w:tr>
    </w:tbl>
    <w:p>
      <w:pPr>
        <w:spacing w:line="260" w:lineRule="atLeast"/>
        <w:ind w:left="-495" w:leftChars="-236" w:firstLine="735" w:firstLineChars="350"/>
        <w:rPr>
          <w:rFonts w:ascii="仿宋_GB2312" w:hAnsi="Times New Roman" w:eastAsia="仿宋_GB2312" w:cs="Times New Roman"/>
          <w:b/>
          <w:color w:val="000000"/>
          <w:kern w:val="0"/>
          <w:szCs w:val="21"/>
        </w:rPr>
      </w:pPr>
    </w:p>
    <w:p>
      <w:pPr>
        <w:spacing w:line="260" w:lineRule="atLeast"/>
        <w:ind w:left="-495" w:leftChars="-236" w:firstLine="735" w:firstLineChars="350"/>
        <w:rPr>
          <w:rFonts w:ascii="仿宋_GB2312" w:hAnsi="Times New Roman" w:eastAsia="仿宋_GB2312" w:cs="Times New Roman"/>
          <w:b/>
          <w:color w:val="000000"/>
          <w:kern w:val="0"/>
          <w:szCs w:val="21"/>
        </w:rPr>
      </w:pPr>
    </w:p>
    <w:p>
      <w:pPr>
        <w:spacing w:line="260" w:lineRule="atLeast"/>
        <w:ind w:left="-495" w:leftChars="-236" w:firstLine="735" w:firstLineChars="350"/>
        <w:rPr>
          <w:rFonts w:ascii="仿宋_GB2312" w:hAnsi="Times New Roman" w:eastAsia="仿宋_GB2312" w:cs="Times New Roman"/>
          <w:b/>
          <w:color w:val="000000"/>
          <w:kern w:val="0"/>
          <w:szCs w:val="21"/>
        </w:rPr>
      </w:pPr>
    </w:p>
    <w:p>
      <w:pPr>
        <w:spacing w:line="260" w:lineRule="atLeast"/>
        <w:ind w:left="-495" w:leftChars="-236" w:firstLine="735" w:firstLineChars="350"/>
        <w:rPr>
          <w:rFonts w:ascii="仿宋_GB2312" w:hAnsi="Times New Roman" w:eastAsia="仿宋_GB2312" w:cs="Times New Roman"/>
          <w:b/>
          <w:color w:val="000000"/>
          <w:kern w:val="0"/>
          <w:szCs w:val="21"/>
        </w:rPr>
      </w:pPr>
    </w:p>
    <w:tbl>
      <w:tblPr>
        <w:tblStyle w:val="12"/>
        <w:tblW w:w="10077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二级单位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新华联A类助学金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新华联B类助学金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东岭集团奖学金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屈原奖学金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中矿地质奖特等奖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中矿地质奖一等奖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中矿地质奖二等奖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中矿地质奖助学金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华为奖学金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蔡田媗珠奖励基金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章源钨业奖学金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黄乾亨基金奖学金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黄乾亨基金助学金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陈国达奖一等奖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陈国达奖二等奖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联邦一等奖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联邦二等奖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文学与新闻传播学院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法学院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马克思主义学院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公共管理学院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数学与统计学院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物理与电子学院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化学化工学院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机电工程学院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能源科学与工程学院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材料科学与工程学院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粉末冶金研究院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交通运输工程学院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土木工程学院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冶金与环境学院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地球科学与信息物理学院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资源与安全工程学院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资源加工与生物工程学院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信息科学与工程学院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基础医学院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湘雅公共卫生学院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湘雅护理学院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湘雅口腔医学院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湘雅药学院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体育教研部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生命科学学院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软件学院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航空航天学院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湘雅医学院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    计：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kern w:val="0"/>
                <w:sz w:val="18"/>
                <w:szCs w:val="18"/>
              </w:rPr>
              <w:t>12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kern w:val="0"/>
                <w:sz w:val="18"/>
                <w:szCs w:val="18"/>
              </w:rPr>
              <w:t>22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</w:tr>
    </w:tbl>
    <w:p>
      <w:pPr>
        <w:spacing w:line="260" w:lineRule="atLeast"/>
        <w:rPr>
          <w:rFonts w:ascii="仿宋_GB2312" w:hAnsi="Times New Roman" w:eastAsia="仿宋_GB2312" w:cs="Times New Roman"/>
          <w:color w:val="000000"/>
          <w:kern w:val="0"/>
          <w:szCs w:val="21"/>
        </w:rPr>
      </w:pPr>
    </w:p>
    <w:tbl>
      <w:tblPr>
        <w:tblStyle w:val="12"/>
        <w:tblW w:w="9952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1"/>
        <w:gridCol w:w="436"/>
        <w:gridCol w:w="54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二级单位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烟台万华奖学金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FMG奖学金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顺丰助学金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汇顶奖学金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希捷奖学金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铜冠奖学金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卢惠霖奖励金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海顺新材奖励金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魏桥铝电奖学金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未名奖学金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鑫迪科技奖学金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国民信和奖学金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懋天奖学金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钢联物流奖学金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钢联物流励志奖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小 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文学与新闻传播学院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法学院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马克思主义学院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公共管理学院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数学与统计学院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物理与电子学院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化学化工学院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>机电工程学院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能源科学与工程学院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材料科学与工程学院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粉末冶金研究院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交通运输工程学院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土木工程学院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冶金与环境学院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地球科学与信息物理学院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HAnsi" w:hAnsiTheme="minorHAnsi" w:eastAsiaTheme="min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HAnsi" w:hAnsiTheme="minorHAnsi" w:eastAsia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资源与安全工程学院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资源加工与生物工程学院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信息科学与工程学院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基础医学院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湘雅公共卫生学院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湘雅护理学院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湘雅口腔医学院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湘雅药学院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体育教研部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生命科学学院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软件学院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HAnsi" w:hAnsiTheme="minorHAnsi" w:eastAsiaTheme="min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HAnsi" w:hAnsiTheme="minorHAnsi" w:eastAsiaTheme="minor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航空航天学院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湘雅医学院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 w:cs="Times New Roman"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    计：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kern w:val="0"/>
                <w:sz w:val="18"/>
                <w:szCs w:val="18"/>
              </w:rPr>
              <w:t>8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kern w:val="0"/>
                <w:sz w:val="18"/>
                <w:szCs w:val="18"/>
              </w:rPr>
              <w:t>26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212</w:t>
            </w:r>
          </w:p>
        </w:tc>
      </w:tr>
    </w:tbl>
    <w:p>
      <w:pPr>
        <w:spacing w:line="260" w:lineRule="atLeast"/>
        <w:ind w:left="972" w:leftChars="51" w:hanging="865" w:hangingChars="412"/>
        <w:rPr>
          <w:rFonts w:ascii="仿宋_GB2312" w:hAnsi="Times New Roman" w:eastAsia="仿宋_GB2312" w:cs="Times New Roman"/>
          <w:b/>
          <w:color w:val="000000"/>
          <w:kern w:val="0"/>
          <w:szCs w:val="21"/>
        </w:rPr>
      </w:pPr>
    </w:p>
    <w:p>
      <w:pPr>
        <w:spacing w:line="260" w:lineRule="atLeast"/>
        <w:ind w:left="972" w:leftChars="51" w:hanging="865" w:hangingChars="412"/>
        <w:rPr>
          <w:rFonts w:ascii="仿宋_GB2312" w:hAnsi="Times New Roman" w:eastAsia="仿宋_GB2312" w:cs="Times New Roman"/>
          <w:color w:val="000000"/>
          <w:kern w:val="0"/>
          <w:szCs w:val="21"/>
        </w:rPr>
      </w:pPr>
      <w:r>
        <w:rPr>
          <w:rFonts w:hint="eastAsia" w:ascii="仿宋_GB2312" w:hAnsi="Times New Roman" w:eastAsia="仿宋_GB2312" w:cs="Times New Roman"/>
          <w:b/>
          <w:color w:val="000000"/>
          <w:kern w:val="0"/>
          <w:szCs w:val="21"/>
        </w:rPr>
        <w:t>注：</w:t>
      </w:r>
      <w:r>
        <w:rPr>
          <w:rFonts w:hint="eastAsia" w:ascii="仿宋_GB2312" w:hAnsi="Times New Roman" w:eastAsia="仿宋_GB2312" w:cs="Times New Roman"/>
          <w:color w:val="000000"/>
          <w:kern w:val="0"/>
          <w:szCs w:val="21"/>
        </w:rPr>
        <w:t>汇</w:t>
      </w:r>
      <w:r>
        <w:rPr>
          <w:rFonts w:hint="eastAsia" w:ascii="仿宋_GB2312" w:hAnsi="Times New Roman" w:eastAsia="仿宋_GB2312" w:cs="Times New Roman"/>
          <w:color w:val="000000"/>
          <w:spacing w:val="-8"/>
          <w:kern w:val="0"/>
          <w:szCs w:val="21"/>
        </w:rPr>
        <w:t>顶科技奖学金按照120%下达名额为由深圳市汇顶科技股份有限公司自行评选并确定等级。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spacing w:val="-14"/>
          <w:kern w:val="0"/>
          <w:sz w:val="18"/>
          <w:szCs w:val="18"/>
        </w:rPr>
        <w:sectPr>
          <w:headerReference r:id="rId3" w:type="default"/>
          <w:pgSz w:w="11906" w:h="16838"/>
          <w:pgMar w:top="1418" w:right="1474" w:bottom="1247" w:left="1304" w:header="851" w:footer="992" w:gutter="0"/>
          <w:cols w:space="720" w:num="1"/>
          <w:docGrid w:type="linesAndChars" w:linePitch="312" w:charSpace="0"/>
        </w:sectPr>
      </w:pPr>
    </w:p>
    <w:p>
      <w:pPr>
        <w:pageBreakBefore/>
        <w:spacing w:line="280" w:lineRule="exact"/>
        <w:outlineLvl w:val="0"/>
        <w:rPr>
          <w:rFonts w:ascii="黑体" w:hAnsi="宋体" w:eastAsia="黑体" w:cs="Times New Roman"/>
          <w:color w:val="000000"/>
          <w:kern w:val="0"/>
          <w:sz w:val="30"/>
          <w:szCs w:val="21"/>
        </w:rPr>
      </w:pPr>
      <w:r>
        <w:rPr>
          <w:rFonts w:hint="eastAsia" w:ascii="黑体" w:hAnsi="Times New Roman" w:eastAsia="黑体" w:cs="Times New Roman"/>
          <w:color w:val="000000"/>
          <w:kern w:val="0"/>
          <w:sz w:val="30"/>
          <w:szCs w:val="24"/>
        </w:rPr>
        <w:t>二、硕士研究生推荐名额</w:t>
      </w:r>
    </w:p>
    <w:tbl>
      <w:tblPr>
        <w:tblStyle w:val="12"/>
        <w:tblW w:w="10328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bookmarkStart w:id="1" w:name="OLE_LINK6"/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二级单位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宝钢教育奖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钻石奖学金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米塔尔奖学金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黄培云教育奖励金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鑫恒教育奖励金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华东有色一等奖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华东有色二等奖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世纪海翔一等奖学金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世纪海翔二等奖学金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世纪海翔酬勤助学金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西北有色一等奖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西北有色二等奖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运动医学奖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比亚迪奖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东岭集团奖学金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中矿地质奖一等奖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中矿地质奖二等奖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Cs w:val="21"/>
              </w:rPr>
              <w:t>中矿地质奖助学金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文学与新闻传播学院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外国语学院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建筑与艺术学院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商学院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法学院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马克思主义学院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公共管理学院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数学与统计学院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物理与电子学院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化学化工学院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b/>
                <w:bCs/>
                <w:color w:val="FF0000"/>
                <w:spacing w:val="-20"/>
                <w:sz w:val="22"/>
              </w:rPr>
            </w:pPr>
            <w:r>
              <w:rPr>
                <w:b/>
                <w:bCs/>
                <w:color w:val="FF0000"/>
                <w:spacing w:val="-20"/>
                <w:sz w:val="22"/>
              </w:rPr>
              <w:t>机电工程学院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  <w:bookmarkStart w:id="2" w:name="_GoBack"/>
            <w:bookmarkEnd w:id="2"/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能源科学与工程学院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材料科学与工程学院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粉末冶金研究院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交通运输工程学院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土木工程学院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冶金与环境学院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地球科学与信息物理学院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资源与安全工程学院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资源加工与生物工程学院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信息科学与工程学院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基础医学院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湘雅公共卫生学院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湘雅护理学院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湘雅口腔医学院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湘雅药学院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体育教研部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生命科学学院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软件学院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航空航天学院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HAnsi" w:hAnsiTheme="minorHAnsi" w:eastAsiaTheme="minor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湘雅医学院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信息安全与大数据研究院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轻合金研究院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HAnsi" w:hAnsiTheme="minorHAnsi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中国村落文化研究中心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湘雅医院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湘雅二医院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湘雅三医院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爱尔眼科学院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湘雅医学院附属海口医院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湘雅医学院附属肿瘤医院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color w:val="000000"/>
                <w:spacing w:val="-20"/>
                <w:sz w:val="22"/>
              </w:rPr>
              <w:t>合计：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</w:tbl>
    <w:p>
      <w:pPr>
        <w:tabs>
          <w:tab w:val="left" w:pos="1110"/>
        </w:tabs>
      </w:pPr>
      <w:r>
        <w:tab/>
      </w:r>
    </w:p>
    <w:tbl>
      <w:tblPr>
        <w:tblStyle w:val="12"/>
        <w:tblW w:w="10928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426"/>
        <w:gridCol w:w="426"/>
        <w:gridCol w:w="426"/>
        <w:gridCol w:w="426"/>
        <w:gridCol w:w="426"/>
        <w:gridCol w:w="426"/>
        <w:gridCol w:w="426"/>
        <w:gridCol w:w="426"/>
        <w:gridCol w:w="531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二级单位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华为奖学金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蔡田媗珠奖励基金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章源钨业奖学金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陈国达奖一等奖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陈国达奖二等奖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联邦一等奖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联邦二等奖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烟台万华奖学金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FMG奖学金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顺丰助学金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汇顶奖学金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卢惠霖奖励金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魏桥铝电奖学金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未名奖学金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鑫迪科技奖学金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励志奖励金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钢联物流奖学金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钢联物流励志奖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文学与新闻传播学院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外国语学院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建筑与艺术学院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商学院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法学院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马克思主义学院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公共管理学院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数学与统计学院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物理与电子学院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化学化工学院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b/>
                <w:bCs/>
                <w:color w:val="FF0000"/>
                <w:spacing w:val="-20"/>
                <w:sz w:val="22"/>
              </w:rPr>
            </w:pPr>
            <w:r>
              <w:rPr>
                <w:rFonts w:hint="eastAsia"/>
                <w:b/>
                <w:bCs/>
                <w:color w:val="FF0000"/>
                <w:spacing w:val="-20"/>
                <w:sz w:val="22"/>
              </w:rPr>
              <w:t>机电工程学院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能源科学与工程学院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材料科学与工程学院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粉末冶金研究院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交通运输工程学院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土木工程学院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Times New Roman" w:asciiTheme="minorHAnsi" w:hAnsiTheme="minorHAnsi" w:eastAsiaTheme="minorEastAsia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HAnsi" w:hAnsiTheme="minorHAnsi" w:eastAsia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冶金与环境学院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地球科学与信息物理学院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资源与安全工程学院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资源加工与生物工程学院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信息科学与工程学院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基础医学院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湘雅公共卫生学院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湘雅护理学院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湘雅口腔医学院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湘雅药学院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体育教研部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生命科学学院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软件学院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航空航天学院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湘雅医学院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</w:pPr>
            <w:r>
              <w:rPr>
                <w:rFonts w:cs="Times New Roman" w:asciiTheme="minorHAnsi" w:hAnsiTheme="minorHAnsi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信息安全与大数据研究院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轻合金研究院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中国村落文化研究中心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湘雅医院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湘雅二医院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湘雅三医院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爱尔眼科学院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湘雅医学院附属海口医院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湘雅医学院附属肿瘤医院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65" w:type="dxa"/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pacing w:val="-2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22"/>
              </w:rPr>
              <w:t>合计：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kern w:val="0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kern w:val="0"/>
                <w:sz w:val="18"/>
                <w:szCs w:val="18"/>
              </w:rPr>
              <w:t>20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</w:tr>
      <w:bookmarkEnd w:id="1"/>
    </w:tbl>
    <w:p>
      <w:pPr>
        <w:rPr>
          <w:rFonts w:ascii="仿宋_GB2312" w:hAnsi="Times New Roman" w:eastAsia="仿宋_GB2312" w:cs="Times New Roman"/>
          <w:b/>
          <w:color w:val="000000"/>
          <w:kern w:val="0"/>
          <w:szCs w:val="21"/>
        </w:rPr>
      </w:pPr>
    </w:p>
    <w:p>
      <w:pPr>
        <w:rPr>
          <w:rFonts w:cs="Times New Roman"/>
          <w:spacing w:val="-6"/>
        </w:rPr>
      </w:pPr>
      <w:r>
        <w:rPr>
          <w:rFonts w:hint="eastAsia" w:ascii="仿宋_GB2312" w:hAnsi="Times New Roman" w:eastAsia="仿宋_GB2312" w:cs="Times New Roman"/>
          <w:b/>
          <w:color w:val="000000"/>
          <w:kern w:val="0"/>
          <w:szCs w:val="21"/>
        </w:rPr>
        <w:t>注：</w:t>
      </w:r>
      <w:r>
        <w:rPr>
          <w:rFonts w:hint="eastAsia" w:ascii="仿宋_GB2312" w:hAnsi="Times New Roman" w:eastAsia="仿宋_GB2312" w:cs="Times New Roman"/>
          <w:color w:val="000000"/>
          <w:spacing w:val="-6"/>
          <w:kern w:val="0"/>
          <w:szCs w:val="21"/>
        </w:rPr>
        <w:t>汇顶科技奖学金和励志奖励金按照120%下达名额为由设奖单位自行评选并确定等级。</w:t>
      </w:r>
    </w:p>
    <w:p>
      <w:pPr>
        <w:pageBreakBefore/>
        <w:spacing w:line="300" w:lineRule="exact"/>
        <w:outlineLvl w:val="0"/>
        <w:rPr>
          <w:rFonts w:ascii="黑体" w:hAnsi="Times New Roman" w:eastAsia="黑体" w:cs="Times New Roman"/>
          <w:color w:val="000000"/>
          <w:spacing w:val="-6"/>
          <w:kern w:val="0"/>
          <w:sz w:val="30"/>
          <w:szCs w:val="24"/>
        </w:rPr>
      </w:pPr>
      <w:r>
        <w:rPr>
          <w:rFonts w:hint="eastAsia" w:ascii="黑体" w:hAnsi="Times New Roman" w:eastAsia="黑体" w:cs="Times New Roman"/>
          <w:color w:val="000000"/>
          <w:kern w:val="0"/>
          <w:sz w:val="30"/>
          <w:szCs w:val="24"/>
        </w:rPr>
        <w:t>三、博士研究生推荐名额</w:t>
      </w:r>
    </w:p>
    <w:tbl>
      <w:tblPr>
        <w:tblStyle w:val="12"/>
        <w:tblW w:w="1108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9"/>
        <w:gridCol w:w="416"/>
        <w:gridCol w:w="416"/>
        <w:gridCol w:w="416"/>
        <w:gridCol w:w="416"/>
        <w:gridCol w:w="41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二级单位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宝钢教育奖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茅以升铁路专项奖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钻石奖学金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米塔尔奖学金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黄培云教育奖励金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西北有色一等奖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西北有色二等奖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比亚迪奖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东岭集团奖学金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中矿地质奖一等奖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中矿地质奖二等奖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华为奖学金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蔡田媗珠奖励基金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联邦一等奖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联邦二等奖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烟台万华奖学金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卢惠霖奖励金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未名奖学金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励志奖励金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-4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40"/>
                <w:kern w:val="0"/>
                <w:szCs w:val="21"/>
              </w:rPr>
              <w:t>钢联物流奖学金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文学与新闻传播学院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外国语学院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公共管理学院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物理与电子学院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化学化工学院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机电工程学院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b/>
                <w:bCs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b/>
                <w:bCs/>
                <w:color w:val="FF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能源科学与工程学院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材料科学与工程学院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粉末冶金研究院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交通运输工程学院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土木工程学院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冶金与环境学院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Cs w:val="21"/>
              </w:rPr>
              <w:t>地球科学与信息物理学院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0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资源与安全工程学院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Cs w:val="21"/>
              </w:rPr>
              <w:t>资源加工与生物工程学院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FF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信息科学与工程学院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基础医学院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湘雅公共卫生学院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湘雅护理学院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湘雅药学院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生命科学学院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软件学院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Cs w:val="21"/>
              </w:rPr>
              <w:t>信息安全与大数据研究院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轻合金研究院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湘雅医院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  <w:t>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HAnsi" w:hAnsiTheme="minorHAnsi" w:eastAsiaTheme="minorEastAsia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HAnsi" w:hAnsiTheme="minorHAnsi"/>
                <w:color w:val="000000"/>
                <w:kern w:val="0"/>
                <w:sz w:val="18"/>
                <w:szCs w:val="1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湘雅二医院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湘雅三医院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爱尔眼科学院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Cs w:val="21"/>
              </w:rPr>
              <w:t>湘雅医学院附属海口医院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Cs w:val="21"/>
              </w:rPr>
              <w:t>湘雅医学院附属肿瘤医院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 w:asciiTheme="minorHAnsi" w:hAnsiTheme="minorHAnsi"/>
                <w:spacing w:val="-4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5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 计：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3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5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6</w:t>
            </w:r>
          </w:p>
        </w:tc>
        <w:tc>
          <w:tcPr>
            <w:tcW w:w="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7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10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0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10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6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18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9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6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spacing w:val="-40"/>
                <w:kern w:val="0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HAnsi" w:hAnsiTheme="minorHAnsi"/>
                <w:color w:val="000000"/>
                <w:kern w:val="0"/>
                <w:sz w:val="18"/>
                <w:szCs w:val="18"/>
              </w:rPr>
              <w:t>116</w:t>
            </w:r>
          </w:p>
        </w:tc>
      </w:tr>
    </w:tbl>
    <w:p>
      <w:pPr>
        <w:rPr>
          <w:rFonts w:cs="Times New Roman"/>
          <w:spacing w:val="-6"/>
        </w:rPr>
      </w:pPr>
      <w:r>
        <w:rPr>
          <w:rFonts w:hint="eastAsia" w:ascii="仿宋_GB2312" w:hAnsi="Times New Roman" w:eastAsia="仿宋_GB2312" w:cs="Times New Roman"/>
          <w:b/>
          <w:color w:val="000000"/>
          <w:kern w:val="0"/>
          <w:szCs w:val="21"/>
        </w:rPr>
        <w:t>注：</w:t>
      </w:r>
      <w:r>
        <w:rPr>
          <w:rFonts w:hint="eastAsia" w:ascii="仿宋_GB2312" w:hAnsi="Times New Roman" w:eastAsia="仿宋_GB2312" w:cs="Times New Roman"/>
          <w:color w:val="000000"/>
          <w:spacing w:val="-6"/>
          <w:kern w:val="0"/>
          <w:szCs w:val="21"/>
        </w:rPr>
        <w:t>励志奖励金按照120%下达名额为由设奖单位自行评选并确定等级。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454" w:right="454" w:bottom="454" w:left="454" w:header="851" w:footer="3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570C"/>
    <w:rsid w:val="000207FF"/>
    <w:rsid w:val="00042C3C"/>
    <w:rsid w:val="00081E86"/>
    <w:rsid w:val="0009678A"/>
    <w:rsid w:val="0009757E"/>
    <w:rsid w:val="000A5DA0"/>
    <w:rsid w:val="000A70A7"/>
    <w:rsid w:val="000B3DFB"/>
    <w:rsid w:val="000E470B"/>
    <w:rsid w:val="00126FEC"/>
    <w:rsid w:val="00131213"/>
    <w:rsid w:val="00184349"/>
    <w:rsid w:val="00191AA5"/>
    <w:rsid w:val="001C3144"/>
    <w:rsid w:val="001C44BB"/>
    <w:rsid w:val="00207E8B"/>
    <w:rsid w:val="002125BB"/>
    <w:rsid w:val="002C7E8A"/>
    <w:rsid w:val="003451AE"/>
    <w:rsid w:val="003950F3"/>
    <w:rsid w:val="003D4469"/>
    <w:rsid w:val="003E603B"/>
    <w:rsid w:val="00415FE8"/>
    <w:rsid w:val="004345E2"/>
    <w:rsid w:val="00476CB7"/>
    <w:rsid w:val="00520AF7"/>
    <w:rsid w:val="005632F6"/>
    <w:rsid w:val="005F74B4"/>
    <w:rsid w:val="005F7668"/>
    <w:rsid w:val="006670E3"/>
    <w:rsid w:val="00680BC8"/>
    <w:rsid w:val="006D4940"/>
    <w:rsid w:val="006E7B32"/>
    <w:rsid w:val="006F09FA"/>
    <w:rsid w:val="00712D5A"/>
    <w:rsid w:val="0071570C"/>
    <w:rsid w:val="00761F1F"/>
    <w:rsid w:val="007926F5"/>
    <w:rsid w:val="00793785"/>
    <w:rsid w:val="007A6C04"/>
    <w:rsid w:val="007E7819"/>
    <w:rsid w:val="008108CB"/>
    <w:rsid w:val="00864C50"/>
    <w:rsid w:val="0089040B"/>
    <w:rsid w:val="00893918"/>
    <w:rsid w:val="008B21BC"/>
    <w:rsid w:val="008D490D"/>
    <w:rsid w:val="009123E5"/>
    <w:rsid w:val="009237E0"/>
    <w:rsid w:val="00AA3664"/>
    <w:rsid w:val="00AF2FE5"/>
    <w:rsid w:val="00B309D7"/>
    <w:rsid w:val="00BC0181"/>
    <w:rsid w:val="00BD2108"/>
    <w:rsid w:val="00C032DA"/>
    <w:rsid w:val="00D60CC3"/>
    <w:rsid w:val="00D87E48"/>
    <w:rsid w:val="00D95E37"/>
    <w:rsid w:val="00ED01D1"/>
    <w:rsid w:val="00EF4E01"/>
    <w:rsid w:val="00EF7FF9"/>
    <w:rsid w:val="00F22F08"/>
    <w:rsid w:val="00F2779C"/>
    <w:rsid w:val="00F70785"/>
    <w:rsid w:val="00F82796"/>
    <w:rsid w:val="00FA3905"/>
    <w:rsid w:val="00FF1677"/>
    <w:rsid w:val="0E2A1DE1"/>
    <w:rsid w:val="1D595313"/>
    <w:rsid w:val="2F060BEA"/>
    <w:rsid w:val="5DA04028"/>
    <w:rsid w:val="690B4C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43"/>
    <w:qFormat/>
    <w:uiPriority w:val="0"/>
    <w:pPr>
      <w:keepNext/>
      <w:keepLines/>
      <w:tabs>
        <w:tab w:val="left" w:pos="2200"/>
      </w:tabs>
      <w:spacing w:before="340" w:after="330" w:line="576" w:lineRule="auto"/>
      <w:ind w:left="825" w:hanging="425"/>
      <w:outlineLvl w:val="0"/>
    </w:pPr>
    <w:rPr>
      <w:rFonts w:ascii="仿宋_GB2312" w:hAnsi="Times New Roman" w:eastAsia="仿宋_GB2312" w:cs="Times New Roman"/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link w:val="44"/>
    <w:unhideWhenUsed/>
    <w:qFormat/>
    <w:uiPriority w:val="0"/>
    <w:pPr>
      <w:keepNext/>
      <w:keepLines/>
      <w:tabs>
        <w:tab w:val="left" w:pos="2200"/>
      </w:tabs>
      <w:spacing w:before="260" w:after="260" w:line="415" w:lineRule="auto"/>
      <w:ind w:left="967" w:hanging="567"/>
      <w:outlineLvl w:val="1"/>
    </w:pPr>
    <w:rPr>
      <w:rFonts w:ascii="Arial" w:hAnsi="Arial" w:eastAsia="黑体" w:cs="Times New Roman"/>
      <w:b/>
      <w:bCs/>
      <w:color w:val="000000"/>
      <w:kern w:val="0"/>
      <w:sz w:val="32"/>
      <w:szCs w:val="32"/>
    </w:rPr>
  </w:style>
  <w:style w:type="paragraph" w:styleId="4">
    <w:name w:val="heading 3"/>
    <w:basedOn w:val="1"/>
    <w:next w:val="1"/>
    <w:link w:val="45"/>
    <w:unhideWhenUsed/>
    <w:qFormat/>
    <w:uiPriority w:val="0"/>
    <w:pPr>
      <w:keepNext/>
      <w:keepLines/>
      <w:spacing w:before="120" w:after="120"/>
      <w:ind w:left="709" w:hanging="709"/>
      <w:outlineLvl w:val="2"/>
    </w:pPr>
    <w:rPr>
      <w:rFonts w:ascii="仿宋_GB2312" w:hAnsi="Times New Roman" w:eastAsia="仿宋_GB2312" w:cs="Times New Roman"/>
      <w:b/>
      <w:bCs/>
      <w:color w:val="000000"/>
      <w:kern w:val="0"/>
      <w:sz w:val="28"/>
      <w:szCs w:val="32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50"/>
    <w:unhideWhenUsed/>
    <w:uiPriority w:val="0"/>
    <w:rPr>
      <w:rFonts w:ascii="宋体"/>
      <w:sz w:val="18"/>
      <w:szCs w:val="18"/>
    </w:rPr>
  </w:style>
  <w:style w:type="paragraph" w:styleId="6">
    <w:name w:val="Balloon Text"/>
    <w:basedOn w:val="1"/>
    <w:link w:val="46"/>
    <w:unhideWhenUsed/>
    <w:qFormat/>
    <w:uiPriority w:val="0"/>
    <w:rPr>
      <w:rFonts w:ascii="仿宋_GB2312" w:hAnsi="Times New Roman" w:eastAsia="仿宋_GB2312" w:cs="Times New Roman"/>
      <w:color w:val="000000"/>
      <w:kern w:val="0"/>
      <w:sz w:val="18"/>
      <w:szCs w:val="18"/>
    </w:rPr>
  </w:style>
  <w:style w:type="paragraph" w:styleId="7">
    <w:name w:val="footer"/>
    <w:basedOn w:val="1"/>
    <w:link w:val="4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4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1">
    <w:name w:val="Hyperlink"/>
    <w:unhideWhenUsed/>
    <w:uiPriority w:val="99"/>
    <w:rPr>
      <w:color w:val="0000FF"/>
      <w:u w:val="single"/>
    </w:rPr>
  </w:style>
  <w:style w:type="paragraph" w:customStyle="1" w:styleId="13">
    <w:name w:val="_Style 6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color w:val="000000"/>
      <w:kern w:val="0"/>
      <w:sz w:val="18"/>
      <w:szCs w:val="18"/>
    </w:rPr>
  </w:style>
  <w:style w:type="paragraph" w:customStyle="1" w:styleId="15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6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仿宋_GB2312" w:hAnsi="宋体" w:eastAsia="仿宋_GB2312" w:cs="宋体"/>
      <w:color w:val="000000"/>
      <w:kern w:val="0"/>
      <w:sz w:val="18"/>
      <w:szCs w:val="18"/>
    </w:rPr>
  </w:style>
  <w:style w:type="paragraph" w:customStyle="1" w:styleId="17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8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9">
    <w:name w:val="xl6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18"/>
      <w:szCs w:val="18"/>
    </w:rPr>
  </w:style>
  <w:style w:type="paragraph" w:customStyle="1" w:styleId="20">
    <w:name w:val="文档标题"/>
    <w:basedOn w:val="1"/>
    <w:uiPriority w:val="0"/>
    <w:rPr>
      <w:rFonts w:ascii="仿宋_GB2312" w:hAnsi="Times New Roman" w:eastAsia="黑体" w:cs="Times New Roman"/>
      <w:b/>
      <w:color w:val="000000"/>
      <w:kern w:val="0"/>
      <w:sz w:val="36"/>
      <w:szCs w:val="24"/>
    </w:rPr>
  </w:style>
  <w:style w:type="paragraph" w:customStyle="1" w:styleId="21">
    <w:name w:val="文章标题"/>
    <w:basedOn w:val="1"/>
    <w:uiPriority w:val="0"/>
    <w:pPr>
      <w:spacing w:afterLines="200" w:line="360" w:lineRule="auto"/>
      <w:jc w:val="center"/>
    </w:pPr>
    <w:rPr>
      <w:rFonts w:ascii="黑体" w:hAnsi="Times New Roman" w:eastAsia="黑体" w:cs="Times New Roman"/>
      <w:color w:val="000000"/>
      <w:kern w:val="0"/>
      <w:sz w:val="36"/>
      <w:szCs w:val="24"/>
    </w:rPr>
  </w:style>
  <w:style w:type="paragraph" w:customStyle="1" w:styleId="22">
    <w:name w:val="正文列表"/>
    <w:basedOn w:val="1"/>
    <w:uiPriority w:val="0"/>
    <w:pPr>
      <w:ind w:left="567" w:hanging="454"/>
      <w:outlineLvl w:val="3"/>
    </w:pPr>
    <w:rPr>
      <w:rFonts w:ascii="仿宋_GB2312" w:hAnsi="Times New Roman" w:eastAsia="仿宋_GB2312" w:cs="Times New Roman"/>
      <w:color w:val="000000"/>
      <w:kern w:val="0"/>
      <w:sz w:val="30"/>
      <w:szCs w:val="24"/>
    </w:rPr>
  </w:style>
  <w:style w:type="paragraph" w:customStyle="1" w:styleId="23">
    <w:name w:val="正文列表二级"/>
    <w:basedOn w:val="22"/>
    <w:uiPriority w:val="0"/>
    <w:pPr>
      <w:tabs>
        <w:tab w:val="left" w:pos="947"/>
      </w:tabs>
      <w:ind w:left="420" w:hanging="193"/>
    </w:pPr>
  </w:style>
  <w:style w:type="paragraph" w:customStyle="1" w:styleId="24">
    <w:name w:val="图表字体"/>
    <w:basedOn w:val="1"/>
    <w:uiPriority w:val="0"/>
    <w:pPr>
      <w:jc w:val="center"/>
    </w:pPr>
    <w:rPr>
      <w:rFonts w:ascii="仿宋_GB2312" w:hAnsi="宋体" w:eastAsia="仿宋_GB2312" w:cs="Times New Roman"/>
      <w:color w:val="000000"/>
      <w:kern w:val="0"/>
      <w:sz w:val="30"/>
      <w:szCs w:val="24"/>
    </w:rPr>
  </w:style>
  <w:style w:type="paragraph" w:customStyle="1" w:styleId="25">
    <w:name w:val="地址"/>
    <w:basedOn w:val="1"/>
    <w:uiPriority w:val="0"/>
    <w:rPr>
      <w:rFonts w:ascii="仿宋_GB2312" w:hAnsi="Times New Roman" w:eastAsia="仿宋_GB2312" w:cs="Times New Roman"/>
      <w:color w:val="000000"/>
      <w:kern w:val="0"/>
      <w:szCs w:val="24"/>
    </w:rPr>
  </w:style>
  <w:style w:type="paragraph" w:customStyle="1" w:styleId="26">
    <w:name w:val="xl6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18"/>
      <w:szCs w:val="18"/>
    </w:rPr>
  </w:style>
  <w:style w:type="paragraph" w:customStyle="1" w:styleId="27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8">
    <w:name w:val="xl7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18"/>
      <w:szCs w:val="18"/>
    </w:rPr>
  </w:style>
  <w:style w:type="paragraph" w:customStyle="1" w:styleId="30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31">
    <w:name w:val="xl6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2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3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34">
    <w:name w:val="xl7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5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36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38">
    <w:name w:val="xl7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41">
    <w:name w:val="页眉 Char"/>
    <w:basedOn w:val="9"/>
    <w:link w:val="8"/>
    <w:uiPriority w:val="0"/>
    <w:rPr>
      <w:sz w:val="18"/>
      <w:szCs w:val="18"/>
    </w:rPr>
  </w:style>
  <w:style w:type="character" w:customStyle="1" w:styleId="42">
    <w:name w:val="页脚 Char"/>
    <w:basedOn w:val="9"/>
    <w:link w:val="7"/>
    <w:uiPriority w:val="0"/>
    <w:rPr>
      <w:sz w:val="18"/>
      <w:szCs w:val="18"/>
    </w:rPr>
  </w:style>
  <w:style w:type="character" w:customStyle="1" w:styleId="43">
    <w:name w:val="标题 1 Char"/>
    <w:basedOn w:val="9"/>
    <w:link w:val="2"/>
    <w:uiPriority w:val="0"/>
    <w:rPr>
      <w:rFonts w:ascii="仿宋_GB2312" w:hAnsi="Times New Roman" w:eastAsia="仿宋_GB2312" w:cs="Times New Roman"/>
      <w:b/>
      <w:bCs/>
      <w:color w:val="000000"/>
      <w:kern w:val="44"/>
      <w:sz w:val="44"/>
      <w:szCs w:val="44"/>
    </w:rPr>
  </w:style>
  <w:style w:type="character" w:customStyle="1" w:styleId="44">
    <w:name w:val="标题 2 Char"/>
    <w:basedOn w:val="9"/>
    <w:link w:val="3"/>
    <w:uiPriority w:val="0"/>
    <w:rPr>
      <w:rFonts w:ascii="Arial" w:hAnsi="Arial" w:eastAsia="黑体" w:cs="Times New Roman"/>
      <w:b/>
      <w:bCs/>
      <w:color w:val="000000"/>
      <w:kern w:val="0"/>
      <w:sz w:val="32"/>
      <w:szCs w:val="32"/>
    </w:rPr>
  </w:style>
  <w:style w:type="character" w:customStyle="1" w:styleId="45">
    <w:name w:val="标题 3 Char"/>
    <w:basedOn w:val="9"/>
    <w:link w:val="4"/>
    <w:uiPriority w:val="0"/>
    <w:rPr>
      <w:rFonts w:ascii="仿宋_GB2312" w:hAnsi="Times New Roman" w:eastAsia="仿宋_GB2312" w:cs="Times New Roman"/>
      <w:b/>
      <w:bCs/>
      <w:color w:val="000000"/>
      <w:kern w:val="0"/>
      <w:sz w:val="28"/>
      <w:szCs w:val="32"/>
    </w:rPr>
  </w:style>
  <w:style w:type="character" w:customStyle="1" w:styleId="46">
    <w:name w:val="批注框文本 Char"/>
    <w:basedOn w:val="9"/>
    <w:link w:val="6"/>
    <w:uiPriority w:val="0"/>
    <w:rPr>
      <w:rFonts w:ascii="仿宋_GB2312" w:hAnsi="Times New Roman" w:eastAsia="仿宋_GB2312" w:cs="Times New Roman"/>
      <w:color w:val="000000"/>
      <w:kern w:val="0"/>
      <w:sz w:val="18"/>
      <w:szCs w:val="18"/>
    </w:rPr>
  </w:style>
  <w:style w:type="character" w:customStyle="1" w:styleId="47">
    <w:name w:val="页脚 Char1"/>
    <w:semiHidden/>
    <w:uiPriority w:val="99"/>
    <w:rPr>
      <w:kern w:val="2"/>
      <w:sz w:val="18"/>
      <w:szCs w:val="18"/>
    </w:rPr>
  </w:style>
  <w:style w:type="character" w:customStyle="1" w:styleId="48">
    <w:name w:val="批注框文本 Char1"/>
    <w:semiHidden/>
    <w:uiPriority w:val="99"/>
    <w:rPr>
      <w:kern w:val="2"/>
      <w:sz w:val="18"/>
      <w:szCs w:val="18"/>
    </w:rPr>
  </w:style>
  <w:style w:type="character" w:customStyle="1" w:styleId="49">
    <w:name w:val="页眉 Char1"/>
    <w:semiHidden/>
    <w:uiPriority w:val="99"/>
    <w:rPr>
      <w:kern w:val="2"/>
      <w:sz w:val="18"/>
      <w:szCs w:val="18"/>
    </w:rPr>
  </w:style>
  <w:style w:type="character" w:customStyle="1" w:styleId="50">
    <w:name w:val="文档结构图 Char"/>
    <w:basedOn w:val="9"/>
    <w:link w:val="5"/>
    <w:semiHidden/>
    <w:uiPriority w:val="0"/>
    <w:rPr>
      <w:rFonts w:ascii="宋体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2264C6-D41E-4FD4-9E5F-492B65CD7B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1138</Words>
  <Characters>6490</Characters>
  <Lines>54</Lines>
  <Paragraphs>15</Paragraphs>
  <TotalTime>0</TotalTime>
  <ScaleCrop>false</ScaleCrop>
  <LinksUpToDate>false</LinksUpToDate>
  <CharactersWithSpaces>7613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2017-06-20T08:15:00Z</dcterms:created>
  <dc:creator>周新宏</dc:creator>
  <cp:lastModifiedBy>Administrator</cp:lastModifiedBy>
  <cp:lastPrinted>2016-07-14T00:03:00Z</cp:lastPrinted>
  <dcterms:modified xsi:type="dcterms:W3CDTF">2017-09-01T02:50:48Z</dcterms:modified>
  <dc:title>附件2：2015年校级奖励金学生奖推荐名额分配表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